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0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高二语文《过秦论》导学训案</w:t>
      </w:r>
    </w:p>
    <w:p w14:paraId="5E4F2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60" w:firstLineChars="100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（第三课时）</w:t>
      </w:r>
    </w:p>
    <w:p w14:paraId="30C388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班级__________ 姓名__________  小组__________ </w:t>
      </w:r>
    </w:p>
    <w:p w14:paraId="038FC03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学习目标</w:t>
      </w:r>
    </w:p>
    <w:p w14:paraId="60E3FF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_GB2312" w:cs="仿宋"/>
          <w:sz w:val="32"/>
          <w:szCs w:val="28"/>
          <w:lang w:eastAsia="zh-CN"/>
        </w:rPr>
        <w:t>学习本文先叙后议的结构方式以及对比手法的运用。</w:t>
      </w:r>
    </w:p>
    <w:p w14:paraId="416D55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_GB2312" w:cs="仿宋"/>
          <w:sz w:val="32"/>
          <w:szCs w:val="28"/>
          <w:lang w:eastAsia="zh-CN"/>
        </w:rPr>
        <w:t>把握课文的基本观点，了解作者对秦王朝灭亡原因的分析及借古讽今的意义。</w:t>
      </w:r>
    </w:p>
    <w:p w14:paraId="27FD790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20" w:firstLine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重点、难点</w:t>
      </w:r>
    </w:p>
    <w:p w14:paraId="0DE481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_GB2312" w:cs="仿宋"/>
          <w:sz w:val="32"/>
          <w:szCs w:val="28"/>
          <w:lang w:eastAsia="zh-CN"/>
        </w:rPr>
        <w:t>了解作者对秦朝灭亡原因的分析及借古讽今意义。</w:t>
      </w:r>
    </w:p>
    <w:p w14:paraId="72D7243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20" w:firstLineChars="1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导学流程</w:t>
      </w:r>
    </w:p>
    <w:p w14:paraId="48045DD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未知探究：</w:t>
      </w:r>
    </w:p>
    <w:p w14:paraId="6E7F0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val="en-US" w:eastAsia="zh-CN"/>
        </w:rPr>
        <w:t>自主探究任务一：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阅读完全文后，请同学们归纳一下本文的主要内容是什么？</w:t>
      </w:r>
    </w:p>
    <w:p w14:paraId="40DC0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自主探究任务二：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作者认为秦朝灭亡的原因是什么？作为政论文，其主要观点是什么？作者是怎样来证明其观点的？</w:t>
      </w:r>
    </w:p>
    <w:p w14:paraId="20A2A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自主探究任务三：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其它艺术特色</w:t>
      </w:r>
    </w:p>
    <w:p w14:paraId="705DF9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拓展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探究任务一：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贾谊认为,秦朝灭亡的原因是“仁义不施而攻守之势异也”。从文中你还能读出秦朝灭亡的其他原因吗?请结合文本加以探究。</w:t>
      </w:r>
    </w:p>
    <w:p w14:paraId="0CB32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拓展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探究任务二：对于秦亡的原因，众说纷纭，贾谊认为是“仁义不施而攻守之势异也”。结合所学知识，谈谈你对这一观点的认识，以及该观点的进步性和局限性。</w:t>
      </w:r>
    </w:p>
    <w:p w14:paraId="42E67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拓展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探究任务三：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如何理解本文的主要观点，比较贾谊的“仁义”与孟子的“仁政”。</w:t>
      </w:r>
    </w:p>
    <w:p w14:paraId="40A7B61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  <w:szCs w:val="40"/>
        </w:rPr>
      </w:pPr>
      <w:r>
        <w:rPr>
          <w:rFonts w:hint="eastAsia" w:eastAsia="仿宋_GB2312"/>
          <w:sz w:val="32"/>
          <w:szCs w:val="40"/>
          <w:lang w:val="en-US" w:eastAsia="zh-CN"/>
        </w:rPr>
        <w:t>拓展练习</w:t>
      </w:r>
    </w:p>
    <w:p w14:paraId="4F69CBC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（一）</w:t>
      </w:r>
      <w:r>
        <w:rPr>
          <w:rFonts w:eastAsia="仿宋_GB2312"/>
          <w:sz w:val="32"/>
        </w:rPr>
        <w:t>阅读下面这首唐诗，完成下列小题。</w:t>
      </w:r>
    </w:p>
    <w:p w14:paraId="28BC78E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b/>
          <w:sz w:val="32"/>
        </w:rPr>
        <w:t>古风（其四十八）</w:t>
      </w:r>
      <w:r>
        <w:rPr>
          <w:rFonts w:ascii="楷体" w:hAnsi="楷体" w:eastAsia="仿宋_GB2312" w:cs="楷体"/>
          <w:b/>
          <w:bCs/>
          <w:sz w:val="32"/>
          <w:vertAlign w:val="superscript"/>
        </w:rPr>
        <w:t>①</w:t>
      </w:r>
    </w:p>
    <w:p w14:paraId="6175F77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28"/>
          <w:szCs w:val="22"/>
        </w:rPr>
      </w:pPr>
      <w:r>
        <w:rPr>
          <w:rFonts w:ascii="楷体" w:hAnsi="楷体" w:eastAsia="仿宋_GB2312" w:cs="楷体"/>
          <w:sz w:val="28"/>
          <w:szCs w:val="22"/>
        </w:rPr>
        <w:t>李白</w:t>
      </w:r>
    </w:p>
    <w:p w14:paraId="05A2DAF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6"/>
          <w:szCs w:val="28"/>
        </w:rPr>
      </w:pPr>
      <w:r>
        <w:rPr>
          <w:rFonts w:ascii="楷体" w:hAnsi="楷体" w:eastAsia="仿宋_GB2312" w:cs="楷体"/>
          <w:sz w:val="36"/>
          <w:szCs w:val="28"/>
        </w:rPr>
        <w:t>秦皇按宝剑，赫怒震威神</w:t>
      </w:r>
      <w:r>
        <w:rPr>
          <w:rFonts w:ascii="楷体" w:hAnsi="楷体" w:eastAsia="仿宋_GB2312" w:cs="楷体"/>
          <w:sz w:val="36"/>
          <w:szCs w:val="28"/>
          <w:vertAlign w:val="superscript"/>
        </w:rPr>
        <w:t>②</w:t>
      </w:r>
      <w:r>
        <w:rPr>
          <w:rFonts w:ascii="楷体" w:hAnsi="楷体" w:eastAsia="仿宋_GB2312" w:cs="楷体"/>
          <w:sz w:val="36"/>
          <w:szCs w:val="28"/>
        </w:rPr>
        <w:t>。</w:t>
      </w:r>
    </w:p>
    <w:p w14:paraId="53B6BD3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6"/>
          <w:szCs w:val="28"/>
        </w:rPr>
      </w:pPr>
      <w:r>
        <w:rPr>
          <w:rFonts w:ascii="楷体" w:hAnsi="楷体" w:eastAsia="仿宋_GB2312" w:cs="楷体"/>
          <w:sz w:val="36"/>
          <w:szCs w:val="28"/>
        </w:rPr>
        <w:t>逐日巡海右，驱石驾沧津</w:t>
      </w:r>
      <w:r>
        <w:rPr>
          <w:rFonts w:ascii="楷体" w:hAnsi="楷体" w:eastAsia="仿宋_GB2312" w:cs="楷体"/>
          <w:sz w:val="36"/>
          <w:szCs w:val="28"/>
          <w:vertAlign w:val="superscript"/>
        </w:rPr>
        <w:t>③</w:t>
      </w:r>
      <w:r>
        <w:rPr>
          <w:rFonts w:ascii="楷体" w:hAnsi="楷体" w:eastAsia="仿宋_GB2312" w:cs="楷体"/>
          <w:sz w:val="36"/>
          <w:szCs w:val="28"/>
        </w:rPr>
        <w:t>。</w:t>
      </w:r>
    </w:p>
    <w:p w14:paraId="248613D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6"/>
          <w:szCs w:val="28"/>
        </w:rPr>
      </w:pPr>
      <w:r>
        <w:rPr>
          <w:rFonts w:ascii="楷体" w:hAnsi="楷体" w:eastAsia="仿宋_GB2312" w:cs="楷体"/>
          <w:sz w:val="36"/>
          <w:szCs w:val="28"/>
        </w:rPr>
        <w:t>征卒空九寓，作桥伤万人。</w:t>
      </w:r>
    </w:p>
    <w:p w14:paraId="46B3FAA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6"/>
          <w:szCs w:val="28"/>
        </w:rPr>
      </w:pPr>
      <w:r>
        <w:rPr>
          <w:rFonts w:ascii="楷体" w:hAnsi="楷体" w:eastAsia="仿宋_GB2312" w:cs="楷体"/>
          <w:sz w:val="36"/>
          <w:szCs w:val="28"/>
        </w:rPr>
        <w:t>但求蓬岛药，岂思农扈</w:t>
      </w:r>
      <w:r>
        <w:rPr>
          <w:rFonts w:ascii="楷体" w:hAnsi="楷体" w:eastAsia="仿宋_GB2312" w:cs="楷体"/>
          <w:sz w:val="36"/>
          <w:szCs w:val="28"/>
          <w:vertAlign w:val="superscript"/>
        </w:rPr>
        <w:t>④</w:t>
      </w:r>
      <w:r>
        <w:rPr>
          <w:rFonts w:ascii="楷体" w:hAnsi="楷体" w:eastAsia="仿宋_GB2312" w:cs="楷体"/>
          <w:sz w:val="36"/>
          <w:szCs w:val="28"/>
        </w:rPr>
        <w:t>春。</w:t>
      </w:r>
    </w:p>
    <w:p w14:paraId="01A44A9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eastAsia="仿宋_GB2312"/>
          <w:sz w:val="36"/>
          <w:szCs w:val="28"/>
        </w:rPr>
      </w:pPr>
      <w:r>
        <w:rPr>
          <w:rFonts w:ascii="楷体" w:hAnsi="楷体" w:eastAsia="仿宋_GB2312" w:cs="楷体"/>
          <w:sz w:val="36"/>
          <w:szCs w:val="28"/>
        </w:rPr>
        <w:t>力尽功不赡，千载为悲辛。</w:t>
      </w:r>
    </w:p>
    <w:p w14:paraId="16CF305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【注】</w:t>
      </w:r>
      <w:r>
        <w:rPr>
          <w:rFonts w:eastAsia="仿宋_GB2312"/>
          <w:sz w:val="28"/>
          <w:szCs w:val="22"/>
        </w:rPr>
        <w:t>①唐玄宗统治后期、好大喜功、穷兵黩武，迷信道教、企望成仙。②威神，凶威之神，此指海神。③传说秦始皇让海神为他驱石架桥。④农扈，古代农官。</w:t>
      </w:r>
    </w:p>
    <w:p w14:paraId="257F5CF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eastAsia="仿宋_GB2312"/>
          <w:sz w:val="32"/>
        </w:rPr>
        <w:t>．下列对诗歌的理解和赏析，不正确的一项是（</w:t>
      </w:r>
      <w:r>
        <w:rPr>
          <w:rFonts w:eastAsia="仿宋_GB2312"/>
          <w:kern w:val="0"/>
          <w:sz w:val="32"/>
          <w:szCs w:val="24"/>
        </w:rPr>
        <w:t>   </w:t>
      </w:r>
      <w:r>
        <w:rPr>
          <w:rFonts w:eastAsia="仿宋_GB2312"/>
          <w:sz w:val="32"/>
        </w:rPr>
        <w:t>）</w:t>
      </w:r>
    </w:p>
    <w:p w14:paraId="221F4F4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A．第三、四句运用了大胆的想象，再现了传说中的场景，表现出了秦始皇的不可一世。</w:t>
      </w:r>
    </w:p>
    <w:p w14:paraId="2630640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B．五、六句中的“空九寓”“伤万人”既承接上文的神话传说，又是社会现实的反映。</w:t>
      </w:r>
    </w:p>
    <w:p w14:paraId="297AB9A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C．全诗将情感融于叙事之中，末句方透露其用意，含蓄委婉，可见诗人高超的功力。</w:t>
      </w:r>
    </w:p>
    <w:p w14:paraId="6430E79D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D．本诗语言通俗明白，体现了李白诗“清水出芙蓉，天然去雕饰”的语言风格特征。</w:t>
      </w:r>
    </w:p>
    <w:p w14:paraId="43324D1C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2</w:t>
      </w:r>
      <w:r>
        <w:rPr>
          <w:rFonts w:eastAsia="仿宋_GB2312"/>
          <w:sz w:val="32"/>
        </w:rPr>
        <w:t>．本诗和贾谊《过秦论》（上）都在指斥秦的过失，请结合两文比较二人观点的异同。</w:t>
      </w:r>
    </w:p>
    <w:p w14:paraId="0C2FD21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（二）</w:t>
      </w:r>
      <w:r>
        <w:rPr>
          <w:rFonts w:eastAsia="仿宋_GB2312"/>
          <w:sz w:val="32"/>
        </w:rPr>
        <w:t>阅读下面的文字，完成下面小题。</w:t>
      </w:r>
    </w:p>
    <w:p w14:paraId="219A790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秦律令中是否有对诸子百家思想的融汇和吸收，学界看法不一。传统认为秦“纯任法术”，与儒家的礼治相互对立。但越来越多的材料证明，秦代不但不反对礼治，而且将“礼”的内容纳入“法”的制度框架之内，在“一断于法”的同时，实质上是将诸家思想有选择地吸收和借鉴，并通过法的强制力贯彻实施，进而实现秦王朝的治理。</w:t>
      </w:r>
    </w:p>
    <w:p w14:paraId="3E217A0D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众所周知，秦代施行“以法为教，以吏为师”政策，法家认为想要实现壹赏、壹刑、壹教，进而壹民于“农战”，法家之“法”是实现这一路径的关键。在法家看来，“法”应作为一切事物的客观准则，是天下之公器。凡“事皆决于法”，那么民间的异俗、异施自然会获得治理。这正是后来韩非提出“以法为教”的理论逻辑。睡虎地秦简《语书》中说：“凡法律令者，以教导民，去其淫僻，除其恶俗，而使之之于为善也。”睡虎地秦简《法律答问》中规定，有人在大道上杀伤人，在旁的人若不加援救，以罚款论处。因此，在秦律看来，见义勇为是法定的义务，秦律强制人完成这样的义务，说明秦代是通过法律强制执行道义，“以法为教”附带有法律的强制力。</w:t>
      </w:r>
    </w:p>
    <w:p w14:paraId="2554184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秦代统治者认为“父慈子孝，政之本也”，要求官吏“除害兴利，慈爱万姓”。这表明秦代对于“礼教”“孝道”等封建伦理的重视，而且，这些思想主张也在秦律中得到落实，如岳麓秦简《徭律》规定，寡子单独与年老的父母居住，当需要承担徭役时，可免去服役。睡虎地秦简《法律答问》规定，老人控告子女不孝要立即拘捕子女，不必经历三次还覆的过程。而除了“公室告”（即控告主体对其家庭以外的人所犯罪行的控告）外，子女告父母法律一律不接受，而且要治告者之罪。说明秦律对于维护家族伦理的高度重视。</w:t>
      </w:r>
    </w:p>
    <w:p w14:paraId="2633D6DA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今湖南出土的秦简说：农忙时，尽量不要征发百姓，官吏征发百姓“可省少弗省少而多兴者”，则据相应的律令论处。岳麓秦简《徭律》规定：农忙季节征发徭役，优先征发富有贤人，农闲时期则优先贫者。这与墨家的“节用”思想相一致。秦代对忠孝、慈爱的个人与家庭，每年将其人选上报，予以表彰或擢用，这些在以往的传世文献中几乎是看不到的。</w:t>
      </w:r>
    </w:p>
    <w:p w14:paraId="2DC61D1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可见，秦法并没有将儒墨诸家学说置于与法家一种绝对的对立面，其所排斥的只是儒墨诸家学说想要实现治理的方法和手段。在法家看来，“法”是第一位的，是一切行为规范的准则。秦法只需严密，做到“事皆决于法”，国家自然会获得治理。</w:t>
      </w:r>
    </w:p>
    <w:p w14:paraId="2458036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然而，通过“以法为教”，法家虽然整合各家思想，将其纳入到法律制度中，进而导民向善，并迅速实现治理，《史记》在描述变法后的秦国时说：“行之十年，秦民大悦。”但问题在于，通过法律的强制来执行礼义道德或价值观等，实质上“严而少恩”，与纯粹的儒家思想仍有本质差异。因此，荀子观秦政，说：“粹而王，驳而霸，无一焉而亡。此亦秦之所短也。”意思是说，秦政不能纯用儒术，而是杂用儒法，虽然能够称霸，但与王道相去甚远，这是秦国的不足之处。</w:t>
      </w:r>
    </w:p>
    <w:p w14:paraId="5F86874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综上，秦法是礼法结合的产物，其与儒墨等诸家学说并不完全对立。但对其过度解读，认为秦法并不严苛，秦代并非苛政厉法，又是误读，同样会在学界和大众中产生不利影响。</w:t>
      </w:r>
    </w:p>
    <w:p w14:paraId="47000C2D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right"/>
        <w:textAlignment w:val="center"/>
        <w:rPr>
          <w:rFonts w:eastAsia="仿宋_GB2312"/>
          <w:sz w:val="32"/>
        </w:rPr>
      </w:pPr>
      <w:r>
        <w:rPr>
          <w:rFonts w:ascii="楷体" w:hAnsi="楷体" w:eastAsia="仿宋_GB2312" w:cs="楷体"/>
          <w:sz w:val="32"/>
        </w:rPr>
        <w:t>（摘编自齐继伟《由出土秦律令重审“以法为教”》）</w:t>
      </w:r>
    </w:p>
    <w:p w14:paraId="67DFF75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3</w:t>
      </w:r>
      <w:r>
        <w:rPr>
          <w:rFonts w:eastAsia="仿宋_GB2312"/>
          <w:sz w:val="32"/>
        </w:rPr>
        <w:t>．下列关于原文内容的理解和分析，正确的一项是（</w:t>
      </w:r>
      <w:r>
        <w:rPr>
          <w:rFonts w:eastAsia="仿宋_GB2312"/>
          <w:kern w:val="0"/>
          <w:sz w:val="32"/>
          <w:szCs w:val="24"/>
        </w:rPr>
        <w:t>   </w:t>
      </w:r>
      <w:r>
        <w:rPr>
          <w:rFonts w:eastAsia="仿宋_GB2312"/>
          <w:sz w:val="32"/>
        </w:rPr>
        <w:t>）</w:t>
      </w:r>
    </w:p>
    <w:p w14:paraId="162061A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A．秦将诸家思想有选择地吸收和借鉴，施行“以法为教，以吏为师”，这是众所周知的。</w:t>
      </w:r>
    </w:p>
    <w:p w14:paraId="735015F7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B．秦简中记载的老人告子女不孝以及子女告父母的相关内容，体现了秦律的公平公正。</w:t>
      </w:r>
    </w:p>
    <w:p w14:paraId="6267A90D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C．在古代文献资料中，极少有对忠孝、慈爱的个人与家庭，上报予以表彰或擢用的记载。</w:t>
      </w:r>
    </w:p>
    <w:p w14:paraId="3DCD4F8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D．荀子认为秦政虽然有儒术的成分，也能够称霸，但是仍比不上儒家所倡导的“王道”。</w:t>
      </w:r>
    </w:p>
    <w:p w14:paraId="0870FF4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4</w:t>
      </w:r>
      <w:r>
        <w:rPr>
          <w:rFonts w:eastAsia="仿宋_GB2312"/>
          <w:sz w:val="32"/>
        </w:rPr>
        <w:t>．下列对原文论证的相关分析，不正确的一项是（</w:t>
      </w:r>
      <w:r>
        <w:rPr>
          <w:rFonts w:eastAsia="仿宋_GB2312"/>
          <w:kern w:val="0"/>
          <w:sz w:val="32"/>
          <w:szCs w:val="24"/>
        </w:rPr>
        <w:t>   </w:t>
      </w:r>
      <w:r>
        <w:rPr>
          <w:rFonts w:eastAsia="仿宋_GB2312"/>
          <w:sz w:val="32"/>
        </w:rPr>
        <w:t>）</w:t>
      </w:r>
    </w:p>
    <w:p w14:paraId="71FD3B3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A．文章的观点突破了传统，认为秦统治者并不反对儒家的礼治，而是“礼法”兼用。</w:t>
      </w:r>
    </w:p>
    <w:p w14:paraId="1AD5048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B．文章在论证过程中，多处引用了各地出土的秦简文字和其他言论，增强了说服力。</w:t>
      </w:r>
    </w:p>
    <w:p w14:paraId="791B38D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C．文章采用了对比论证法，具体阐述了秦政与儒墨诸家在治理方法和手段上的不同。</w:t>
      </w:r>
    </w:p>
    <w:p w14:paraId="246121E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D．文章使用“可见”“然而”“综上”等词，使文章过渡更自然，论证层次更清晰。</w:t>
      </w:r>
    </w:p>
    <w:p w14:paraId="3D5E1D3E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5</w:t>
      </w:r>
      <w:r>
        <w:rPr>
          <w:rFonts w:eastAsia="仿宋_GB2312"/>
          <w:sz w:val="32"/>
        </w:rPr>
        <w:t>．根据原文内容，下列说法不正确的一项是（</w:t>
      </w:r>
      <w:r>
        <w:rPr>
          <w:rFonts w:eastAsia="仿宋_GB2312"/>
          <w:kern w:val="0"/>
          <w:sz w:val="32"/>
          <w:szCs w:val="24"/>
        </w:rPr>
        <w:t>   </w:t>
      </w:r>
      <w:r>
        <w:rPr>
          <w:rFonts w:eastAsia="仿宋_GB2312"/>
          <w:sz w:val="32"/>
        </w:rPr>
        <w:t>）</w:t>
      </w:r>
    </w:p>
    <w:p w14:paraId="5E949F3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A．传统认为秦“纯任法术”，与礼治背道而驰，《过秦论》中“仁义不施”就属于这样的观点。</w:t>
      </w:r>
    </w:p>
    <w:p w14:paraId="06AC52E7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B．法家“以法为教”的理论逻辑是：用法律来规范一切事物，以起到导民向善为善的教化作用。</w:t>
      </w:r>
    </w:p>
    <w:p w14:paraId="1BF5269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C．作者认为“以法为教”的秦政和纯粹的儒家思想虽然在本质上有差异，但二者并无高下之分。</w:t>
      </w:r>
    </w:p>
    <w:p w14:paraId="1B075ACA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80"/>
        <w:jc w:val="left"/>
        <w:textAlignment w:val="center"/>
        <w:rPr>
          <w:rFonts w:ascii="黑体" w:hAnsi="黑体" w:eastAsia="仿宋_GB2312" w:cs="黑体"/>
          <w:b/>
          <w:sz w:val="32"/>
        </w:rPr>
      </w:pPr>
      <w:r>
        <w:rPr>
          <w:rFonts w:eastAsia="仿宋_GB2312"/>
          <w:sz w:val="32"/>
        </w:rPr>
        <w:t>D．把秦法与儒家的礼治完全对立，和认为秦法并不严苛，二者都有失偏颇且都会产生不利影响。</w:t>
      </w:r>
    </w:p>
    <w:p w14:paraId="51FEE3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center"/>
        <w:rPr>
          <w:rFonts w:ascii="黑体" w:hAnsi="黑体" w:eastAsia="仿宋_GB2312" w:cs="黑体"/>
          <w:b/>
          <w:sz w:val="32"/>
        </w:rPr>
      </w:pPr>
    </w:p>
    <w:p w14:paraId="63F5CF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default" w:eastAsia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AF61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FB135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FB135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横峰中学学生课堂导学训案（英语）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 xml:space="preserve"> 编号：hfzx高二 使用时间:2024-12 编写人：桂艳红 审核人：邓建明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0Y2IwOWNkYjY0NjY3MWQ4ZDZlYjViMjI4Y2Y4NDIifQ=="/>
  </w:docVars>
  <w:rsids>
    <w:rsidRoot w:val="00000000"/>
    <w:rsid w:val="06BA455D"/>
    <w:rsid w:val="07F80A90"/>
    <w:rsid w:val="1C3D0D21"/>
    <w:rsid w:val="1DA123A3"/>
    <w:rsid w:val="1E1F612F"/>
    <w:rsid w:val="207672EF"/>
    <w:rsid w:val="2EB6502B"/>
    <w:rsid w:val="2F615659"/>
    <w:rsid w:val="32E4458C"/>
    <w:rsid w:val="4B4931EA"/>
    <w:rsid w:val="4DB22334"/>
    <w:rsid w:val="6B4A435F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2607</Words>
  <Characters>2637</Characters>
  <Lines>0</Lines>
  <Paragraphs>0</Paragraphs>
  <TotalTime>3</TotalTime>
  <ScaleCrop>false</ScaleCrop>
  <LinksUpToDate>false</LinksUpToDate>
  <CharactersWithSpaces>2653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B3CCE65F3AA14195BB4C246ED09FB50F_12</vt:lpwstr>
  </property>
</Properties>
</file>